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0FA8F84A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3E5FB7" w:rsidRPr="003E5FB7">
              <w:rPr>
                <w:rFonts w:ascii="Bookman Old Style" w:hAnsi="Bookman Old Style" w:cs="Arial"/>
                <w:b/>
                <w:szCs w:val="18"/>
              </w:rPr>
              <w:t>ISO 18645:2016, Fertilizers and soil conditioners — Water soluble fertilizer — General requirements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BC27" w14:textId="77777777" w:rsidR="006F532D" w:rsidRDefault="006F532D" w:rsidP="00A51C2D">
      <w:r>
        <w:separator/>
      </w:r>
    </w:p>
  </w:endnote>
  <w:endnote w:type="continuationSeparator" w:id="0">
    <w:p w14:paraId="5B5CD02A" w14:textId="77777777" w:rsidR="006F532D" w:rsidRDefault="006F532D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223A" w14:textId="77777777" w:rsidR="006F532D" w:rsidRDefault="006F532D" w:rsidP="00A51C2D">
      <w:r>
        <w:separator/>
      </w:r>
    </w:p>
  </w:footnote>
  <w:footnote w:type="continuationSeparator" w:id="0">
    <w:p w14:paraId="76F6392E" w14:textId="77777777" w:rsidR="006F532D" w:rsidRDefault="006F532D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532D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2025-07-29T14:36:00Z</dcterms:created>
  <dcterms:modified xsi:type="dcterms:W3CDTF">2025-07-29T14:36:00Z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